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451DAA">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451DAA">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451DAA">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451DAA">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451DAA">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451DAA">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451DAA">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451DAA">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451DAA">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451DAA">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451DAA">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451DAA">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451DAA">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451DAA">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451DAA">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451DAA">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451DAA">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451DAA">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451DAA">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451DAA">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451DAA">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451DAA">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451DAA">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451DAA">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451DAA">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451DAA">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451DAA">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451DAA">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451DAA"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451DAA"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451DAA"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451DAA"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language translation using google translator(Example).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451DAA" w:rsidRPr="0053194C" w:rsidRDefault="00451DAA"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451DAA" w:rsidRPr="0053194C" w:rsidRDefault="00451DAA"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31397703"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654B60">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 xml:space="preserve">2-5 </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451DAA" w:rsidRPr="00611D77" w:rsidRDefault="00451DAA"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451DAA" w:rsidRPr="00611D77" w:rsidRDefault="00451DAA"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451DAA"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451DAA"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451DAA"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451DAA"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451DAA"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451DAA"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836C21">
      <w:pPr>
        <w:pStyle w:val="Heading3"/>
        <w:numPr>
          <w:ilvl w:val="2"/>
          <w:numId w:val="47"/>
        </w:numPr>
      </w:pPr>
      <w:bookmarkStart w:id="225" w:name="_Toc51406937"/>
      <w:r>
        <w:t>Temporal</w:t>
      </w:r>
      <w:r w:rsidR="006D528E">
        <w:t xml:space="preserve"> </w:t>
      </w:r>
      <w:r w:rsidR="006D528E">
        <w:t>aware</w:t>
      </w:r>
      <w:r>
        <w:t xml:space="preserve"> Discriminator</w:t>
      </w:r>
      <w:bookmarkEnd w:id="225"/>
      <w:r w:rsidR="006D528E" w:rsidRPr="006D528E">
        <w:t xml:space="preserve"> </w:t>
      </w:r>
    </w:p>
    <w:p w14:paraId="7FCE561E" w14:textId="4A1477DA" w:rsidR="002B55DB" w:rsidRDefault="00E437A7" w:rsidP="001F0EFF">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451DAA"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self.combined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efficientnet.tfkeras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r w:rsidRPr="00066573">
        <w:rPr>
          <w:rFonts w:ascii="Courier New" w:hAnsi="Courier New" w:cs="Courier New"/>
          <w:color w:val="0000FF"/>
          <w:sz w:val="20"/>
          <w:szCs w:val="20"/>
        </w:rPr>
        <w:t>a,b</w:t>
      </w:r>
      <w:proofErr w:type="spell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217CA">
      <w:pPr>
        <w:pStyle w:val="Heading2"/>
      </w:pPr>
      <w:bookmarkStart w:id="235" w:name="_Toc51406947"/>
      <w:r w:rsidRPr="00110F70">
        <w:t>Temporal</w:t>
      </w:r>
      <w:r w:rsidR="000C04E5">
        <w:t xml:space="preserve"> aware</w:t>
      </w:r>
      <w:r w:rsidRPr="00110F70">
        <w:t xml:space="preserve">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cycle_loss_fn</w:t>
      </w:r>
      <w:proofErr w:type="spell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 xml:space="preserve">(A2B,f)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57" w:name="_Toc51406953"/>
      <w:r w:rsidRPr="00465806">
        <w:t xml:space="preserve">Flower to </w:t>
      </w:r>
      <w:r w:rsidR="0050786F">
        <w:t>F</w:t>
      </w:r>
      <w:r w:rsidRPr="00465806">
        <w:t>lower</w:t>
      </w:r>
      <w:bookmarkEnd w:id="257"/>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0789A9B"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w:t>
      </w:r>
      <w:r w:rsidR="000F7F7C" w:rsidRPr="000F7F7C">
        <w:lastRenderedPageBreak/>
        <w:t xml:space="preserve">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13839FBF" w14:textId="0152F4C4" w:rsidR="00F655D1"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t>
      </w:r>
      <w:bookmarkStart w:id="262" w:name="_Toc51406958"/>
      <w:r w:rsidR="00C25948">
        <w:t xml:space="preserve">Which start on the </w:t>
      </w:r>
      <w:proofErr w:type="spellStart"/>
      <w:r w:rsidR="00C25948">
        <w:t>RecycleGAN</w:t>
      </w:r>
      <w:proofErr w:type="spellEnd"/>
      <w:r w:rsidR="00C25948">
        <w:t xml:space="preserve">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r w:rsidR="00E75FEA">
        <w:t>Q</w:t>
      </w:r>
      <w:r w:rsidR="00F655D1" w:rsidRPr="0093027A">
        <w:t xml:space="preserve">ualitative and quantitative </w:t>
      </w:r>
      <w:r w:rsidR="001A1C17">
        <w:t xml:space="preserve">experimental </w:t>
      </w:r>
      <w:r w:rsidR="00F655D1" w:rsidRPr="0093027A">
        <w:t xml:space="preserve">outcomes </w:t>
      </w:r>
      <w:r w:rsidR="00F655D1">
        <w:t xml:space="preserve">show the achievement of this thesis work compared to baseline works </w:t>
      </w:r>
      <w:proofErr w:type="spellStart"/>
      <w:r w:rsidR="00F655D1">
        <w:t>cycleGAN</w:t>
      </w:r>
      <w:proofErr w:type="spellEnd"/>
      <w:r w:rsidR="00F655D1">
        <w:t xml:space="preserve"> and </w:t>
      </w:r>
      <w:proofErr w:type="spellStart"/>
      <w:r w:rsidR="00F655D1">
        <w:t>ReCycleGAN</w:t>
      </w:r>
      <w:proofErr w:type="spellEnd"/>
      <w:r w:rsidR="003209B3">
        <w:t>. In</w:t>
      </w:r>
      <w:r w:rsidR="007C4611">
        <w:t xml:space="preserve"> </w:t>
      </w:r>
      <w:r w:rsidR="003209B3">
        <w:t>fact</w:t>
      </w:r>
      <w:r w:rsidR="007C4611">
        <w:t>,</w:t>
      </w:r>
      <w:r w:rsidR="001A1C17">
        <w:t xml:space="preserve"> </w:t>
      </w:r>
      <w:r w:rsidR="005D131D">
        <w:t xml:space="preserve">the </w:t>
      </w:r>
      <w:r w:rsidR="007C4611">
        <w:t>Temporal aware discriminator</w:t>
      </w:r>
      <w:r w:rsidR="007C4611">
        <w:t xml:space="preserve">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9C1DBF">
        <w:t xml:space="preserve">looks real or fake </w:t>
      </w:r>
      <w:r w:rsidR="009C1DBF">
        <w:t xml:space="preserve">on </w:t>
      </w:r>
      <w:r w:rsidR="00D64B7F">
        <w:t xml:space="preserve">the </w:t>
      </w:r>
      <w:r w:rsidR="00EA030F">
        <w:t>spatial</w:t>
      </w:r>
      <w:r w:rsidR="009C1DBF">
        <w:t xml:space="preserve"> domain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proofErr w:type="spellStart"/>
      <w:r w:rsidR="00B83619">
        <w:t>preciding</w:t>
      </w:r>
      <w:proofErr w:type="spellEnd"/>
      <w:r w:rsidR="005D131D">
        <w:t xml:space="preserve"> two frames.</w:t>
      </w:r>
    </w:p>
    <w:p w14:paraId="3FD76DE8" w14:textId="334748D8" w:rsidR="00851C68" w:rsidRDefault="00851C68" w:rsidP="00C25948">
      <w:pPr>
        <w:pStyle w:val="Heading2"/>
      </w:pPr>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026FFB0B" w14:textId="2702B8CA" w:rsidR="00654B60" w:rsidRPr="00654B60" w:rsidRDefault="001C1FA8" w:rsidP="00654B60">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54B60" w:rsidRPr="00654B60">
        <w:rPr>
          <w:rFonts w:ascii="Calibri" w:hAnsi="Calibri" w:cs="Calibri"/>
          <w:noProof/>
        </w:rPr>
        <w:t>[1]</w:t>
      </w:r>
      <w:r w:rsidR="00654B60" w:rsidRPr="00654B60">
        <w:rPr>
          <w:rFonts w:ascii="Calibri" w:hAnsi="Calibri" w:cs="Calibri"/>
          <w:noProof/>
        </w:rPr>
        <w:tab/>
        <w:t xml:space="preserve">M. Cleary, </w:t>
      </w:r>
      <w:r w:rsidR="00654B60" w:rsidRPr="00654B60">
        <w:rPr>
          <w:rFonts w:ascii="Calibri" w:hAnsi="Calibri" w:cs="Calibri"/>
          <w:i/>
          <w:iCs/>
          <w:noProof/>
        </w:rPr>
        <w:t>Python Data Science</w:t>
      </w:r>
      <w:r w:rsidR="00654B60" w:rsidRPr="00654B60">
        <w:rPr>
          <w:rFonts w:ascii="Calibri" w:hAnsi="Calibri" w:cs="Calibri"/>
          <w:noProof/>
        </w:rPr>
        <w:t>, vol. 53, no. 9. O’Reilly Media, Inc, 2019.</w:t>
      </w:r>
    </w:p>
    <w:p w14:paraId="1CFE896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w:t>
      </w:r>
      <w:r w:rsidRPr="00654B60">
        <w:rPr>
          <w:rFonts w:ascii="Calibri" w:hAnsi="Calibri" w:cs="Calibri"/>
          <w:noProof/>
        </w:rPr>
        <w:tab/>
        <w:t xml:space="preserve">R. Rojas, “Neural Networks: A Systematic Introduction. ,” </w:t>
      </w:r>
      <w:r w:rsidRPr="00654B60">
        <w:rPr>
          <w:rFonts w:ascii="Calibri" w:hAnsi="Calibri" w:cs="Calibri"/>
          <w:i/>
          <w:iCs/>
          <w:noProof/>
        </w:rPr>
        <w:t>Springer New York, NY, USA -Verlag New York, Inc.</w:t>
      </w:r>
      <w:r w:rsidRPr="00654B60">
        <w:rPr>
          <w:rFonts w:ascii="Calibri" w:hAnsi="Calibri" w:cs="Calibri"/>
          <w:noProof/>
        </w:rPr>
        <w:t>, 1996.</w:t>
      </w:r>
    </w:p>
    <w:p w14:paraId="6BE8DA1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w:t>
      </w:r>
      <w:r w:rsidRPr="00654B60">
        <w:rPr>
          <w:rFonts w:ascii="Calibri" w:hAnsi="Calibri" w:cs="Calibri"/>
          <w:noProof/>
        </w:rPr>
        <w:tab/>
        <w:t xml:space="preserve">G. E. H. Alex Krizhevsky, Ilya Sutskever, “ImageNet Classification with Deep Convolutional Neural Networks,” </w:t>
      </w:r>
      <w:r w:rsidRPr="00654B60">
        <w:rPr>
          <w:rFonts w:ascii="Calibri" w:hAnsi="Calibri" w:cs="Calibri"/>
          <w:i/>
          <w:iCs/>
          <w:noProof/>
        </w:rPr>
        <w:t>ILSVRC2012</w:t>
      </w:r>
      <w:r w:rsidRPr="00654B60">
        <w:rPr>
          <w:rFonts w:ascii="Calibri" w:hAnsi="Calibri" w:cs="Calibri"/>
          <w:noProof/>
        </w:rPr>
        <w:t>, pp. 1–1432, 2007.</w:t>
      </w:r>
    </w:p>
    <w:p w14:paraId="5F03169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[4]</w:t>
      </w:r>
      <w:r w:rsidRPr="00654B60">
        <w:rPr>
          <w:rFonts w:ascii="Calibri" w:hAnsi="Calibri" w:cs="Calibri"/>
          <w:noProof/>
        </w:rPr>
        <w:tab/>
        <w:t xml:space="preserve">Y. LeCun, L. Bottou, Y. Bengio, and P. Haffner, “Gradient-based learning applied to document recognition,” </w:t>
      </w:r>
      <w:r w:rsidRPr="00654B60">
        <w:rPr>
          <w:rFonts w:ascii="Calibri" w:hAnsi="Calibri" w:cs="Calibri"/>
          <w:i/>
          <w:iCs/>
          <w:noProof/>
        </w:rPr>
        <w:t>Proc. IEEE</w:t>
      </w:r>
      <w:r w:rsidRPr="00654B60">
        <w:rPr>
          <w:rFonts w:ascii="Calibri" w:hAnsi="Calibri" w:cs="Calibri"/>
          <w:noProof/>
        </w:rPr>
        <w:t>, vol. 86, no. 11, pp. 2278–2323, 1998.</w:t>
      </w:r>
    </w:p>
    <w:p w14:paraId="1485A8B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[5]</w:t>
      </w:r>
      <w:r w:rsidRPr="00654B60">
        <w:rPr>
          <w:rFonts w:ascii="Calibri" w:hAnsi="Calibri" w:cs="Calibri"/>
          <w:noProof/>
        </w:rPr>
        <w:tab/>
        <w:t xml:space="preserve">I. Goodfellow </w:t>
      </w:r>
      <w:r w:rsidRPr="00654B60">
        <w:rPr>
          <w:rFonts w:ascii="Calibri" w:hAnsi="Calibri" w:cs="Calibri"/>
          <w:i/>
          <w:iCs/>
          <w:noProof/>
        </w:rPr>
        <w:t>et al.</w:t>
      </w:r>
      <w:r w:rsidRPr="00654B60">
        <w:rPr>
          <w:rFonts w:ascii="Calibri" w:hAnsi="Calibri" w:cs="Calibri"/>
          <w:noProof/>
        </w:rPr>
        <w:t xml:space="preserve">, “Generative Adversarial Nets (NIPS version),” </w:t>
      </w:r>
      <w:r w:rsidRPr="00654B60">
        <w:rPr>
          <w:rFonts w:ascii="Calibri" w:hAnsi="Calibri" w:cs="Calibri"/>
          <w:i/>
          <w:iCs/>
          <w:noProof/>
        </w:rPr>
        <w:t>Adv. Neural Inf. Process. Syst. 27</w:t>
      </w:r>
      <w:r w:rsidRPr="00654B60">
        <w:rPr>
          <w:rFonts w:ascii="Calibri" w:hAnsi="Calibri" w:cs="Calibri"/>
          <w:noProof/>
        </w:rPr>
        <w:t>, 2014.</w:t>
      </w:r>
    </w:p>
    <w:p w14:paraId="66A57D5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[6]</w:t>
      </w:r>
      <w:r w:rsidRPr="00654B60">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5C67A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[7]</w:t>
      </w:r>
      <w:r w:rsidRPr="00654B60">
        <w:rPr>
          <w:rFonts w:ascii="Calibri" w:hAnsi="Calibri" w:cs="Calibri"/>
          <w:noProof/>
        </w:rPr>
        <w:tab/>
        <w:t xml:space="preserve">D. Dwibedi, Y. Aytar, J. Tompson, P. Sermanet, and A. Zisserman, “Temporal cycle-consistency learning,” </w:t>
      </w:r>
      <w:r w:rsidRPr="00654B60">
        <w:rPr>
          <w:rFonts w:ascii="Calibri" w:hAnsi="Calibri" w:cs="Calibri"/>
          <w:i/>
          <w:iCs/>
          <w:noProof/>
        </w:rPr>
        <w:t>Proc. IEEE Comput. Soc. Conf. Comput. Vis. Pattern Recognit.</w:t>
      </w:r>
      <w:r w:rsidRPr="00654B60">
        <w:rPr>
          <w:rFonts w:ascii="Calibri" w:hAnsi="Calibri" w:cs="Calibri"/>
          <w:noProof/>
        </w:rPr>
        <w:t>, vol. 2019-June, no. 12, pp. 1801–1810, Apr. 2019.</w:t>
      </w:r>
    </w:p>
    <w:p w14:paraId="5A48F43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[8]</w:t>
      </w:r>
      <w:r w:rsidRPr="00654B60">
        <w:rPr>
          <w:rFonts w:ascii="Calibri" w:hAnsi="Calibri" w:cs="Calibri"/>
          <w:noProof/>
        </w:rPr>
        <w:tab/>
        <w:t xml:space="preserve">P. Isola, J. Y. Zhu, T. Zhou, and A. A. Efros, “Image-to-image translation with conditional adversarial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5967–5976.</w:t>
      </w:r>
    </w:p>
    <w:p w14:paraId="3BCD0DB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[9]</w:t>
      </w:r>
      <w:r w:rsidRPr="00654B60">
        <w:rPr>
          <w:rFonts w:ascii="Calibri" w:hAnsi="Calibri" w:cs="Calibri"/>
          <w:noProof/>
        </w:rPr>
        <w:tab/>
        <w:t xml:space="preserve">J. Y. Zhu, T. Park, P. Isola, and A. A. Efros, “Unpaired Image-to-Image Translation Using Cycle-Consistent Adversarial Networks,”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2242–2251.</w:t>
      </w:r>
    </w:p>
    <w:p w14:paraId="4492E58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[10]</w:t>
      </w:r>
      <w:r w:rsidRPr="00654B60">
        <w:rPr>
          <w:rFonts w:ascii="Calibri" w:hAnsi="Calibri" w:cs="Calibri"/>
          <w:noProof/>
        </w:rPr>
        <w:tab/>
        <w:t>M. Mirza and S. Osindero, “Conditional Generative Adversarial Nets,” Nov. 2014.</w:t>
      </w:r>
    </w:p>
    <w:p w14:paraId="527BC4D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[11]</w:t>
      </w:r>
      <w:r w:rsidRPr="00654B60">
        <w:rPr>
          <w:rFonts w:ascii="Calibri" w:hAnsi="Calibri" w:cs="Calibri"/>
          <w:noProof/>
        </w:rPr>
        <w:tab/>
        <w:t xml:space="preserve">C. Cao, Q. Hou, and K. Zhou, “Displaced dynamic expression regression for real-time facial tracking and animation,” in </w:t>
      </w:r>
      <w:r w:rsidRPr="00654B60">
        <w:rPr>
          <w:rFonts w:ascii="Calibri" w:hAnsi="Calibri" w:cs="Calibri"/>
          <w:i/>
          <w:iCs/>
          <w:noProof/>
        </w:rPr>
        <w:t>ACM Transactions on Graphics</w:t>
      </w:r>
      <w:r w:rsidRPr="00654B60">
        <w:rPr>
          <w:rFonts w:ascii="Calibri" w:hAnsi="Calibri" w:cs="Calibri"/>
          <w:noProof/>
        </w:rPr>
        <w:t>, 2014, vol. 33, no. 4.</w:t>
      </w:r>
    </w:p>
    <w:p w14:paraId="713BDF7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[12]</w:t>
      </w:r>
      <w:r w:rsidRPr="00654B60">
        <w:rPr>
          <w:rFonts w:ascii="Calibri" w:hAnsi="Calibri" w:cs="Calibri"/>
          <w:noProof/>
        </w:rPr>
        <w:tab/>
        <w:t xml:space="preserve">A. Bansal, S. Ma, D. Ramanan, and Y. Sheikh, “Recycle-GAN: Unsupervised Video Retargeting,”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11209 LNCS, pp. 122–138.</w:t>
      </w:r>
    </w:p>
    <w:p w14:paraId="20F8FD9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[13]</w:t>
      </w:r>
      <w:r w:rsidRPr="00654B60">
        <w:rPr>
          <w:rFonts w:ascii="Calibri" w:hAnsi="Calibri" w:cs="Calibri"/>
          <w:noProof/>
        </w:rPr>
        <w:tab/>
        <w:t xml:space="preserve">K. Park, S. Woo, D. Kim, D. Cho, and I. S. Kweon, “Preserving semantic and temporal consistency for unpaired video-to-video translation,” </w:t>
      </w:r>
      <w:r w:rsidRPr="00654B60">
        <w:rPr>
          <w:rFonts w:ascii="Calibri" w:hAnsi="Calibri" w:cs="Calibri"/>
          <w:i/>
          <w:iCs/>
          <w:noProof/>
        </w:rPr>
        <w:t>MM 2019 - Proc. 27th ACM Int. Conf. Multimed.</w:t>
      </w:r>
      <w:r w:rsidRPr="00654B60">
        <w:rPr>
          <w:rFonts w:ascii="Calibri" w:hAnsi="Calibri" w:cs="Calibri"/>
          <w:noProof/>
        </w:rPr>
        <w:t>, pp. 1248–1257, Aug. 2019.</w:t>
      </w:r>
    </w:p>
    <w:p w14:paraId="0B25ABE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[14]</w:t>
      </w:r>
      <w:r w:rsidRPr="00654B60">
        <w:rPr>
          <w:rFonts w:ascii="Calibri" w:hAnsi="Calibri" w:cs="Calibri"/>
          <w:noProof/>
        </w:rPr>
        <w:tab/>
        <w:t xml:space="preserve">A. Radford, L. Metz, and S. Chintala, “Unsupervised representation learning with deep convolutional generative adversarial networks,” in </w:t>
      </w:r>
      <w:r w:rsidRPr="00654B60">
        <w:rPr>
          <w:rFonts w:ascii="Calibri" w:hAnsi="Calibri" w:cs="Calibri"/>
          <w:i/>
          <w:iCs/>
          <w:noProof/>
        </w:rPr>
        <w:t>4th International Conference on Learning Representations, ICLR 2016 - Conference Track Proceedings</w:t>
      </w:r>
      <w:r w:rsidRPr="00654B60">
        <w:rPr>
          <w:rFonts w:ascii="Calibri" w:hAnsi="Calibri" w:cs="Calibri"/>
          <w:noProof/>
        </w:rPr>
        <w:t>, 2016.</w:t>
      </w:r>
    </w:p>
    <w:p w14:paraId="3F4178A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[15]</w:t>
      </w:r>
      <w:r w:rsidRPr="00654B60">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BEFC3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[16]</w:t>
      </w:r>
      <w:r w:rsidRPr="00654B60">
        <w:rPr>
          <w:rFonts w:ascii="Calibri" w:hAnsi="Calibri" w:cs="Calibri"/>
          <w:noProof/>
        </w:rPr>
        <w:tab/>
        <w:t xml:space="preserve">Y. Choi, M. Choi, M. Kim, J. W. Ha, S. Kim, and J. Choo, “StarGAN: Unified Generative Adversarial Networks for Multi-domain Image-to-Image Translation,” </w:t>
      </w:r>
      <w:r w:rsidRPr="00654B60">
        <w:rPr>
          <w:rFonts w:ascii="Calibri" w:hAnsi="Calibri" w:cs="Calibri"/>
          <w:i/>
          <w:iCs/>
          <w:noProof/>
        </w:rPr>
        <w:t>Proc. IEEE Comput. Soc. Conf. Comput. Vis. Pattern Recognit.</w:t>
      </w:r>
      <w:r w:rsidRPr="00654B60">
        <w:rPr>
          <w:rFonts w:ascii="Calibri" w:hAnsi="Calibri" w:cs="Calibri"/>
          <w:noProof/>
        </w:rPr>
        <w:t>, pp. 8789–8797, Nov. 2018.</w:t>
      </w:r>
    </w:p>
    <w:p w14:paraId="32DF418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[17]</w:t>
      </w:r>
      <w:r w:rsidRPr="00654B60">
        <w:rPr>
          <w:rFonts w:ascii="Calibri" w:hAnsi="Calibri" w:cs="Calibri"/>
          <w:noProof/>
        </w:rPr>
        <w:tab/>
        <w:t xml:space="preserve">H. Huang </w:t>
      </w:r>
      <w:r w:rsidRPr="00654B60">
        <w:rPr>
          <w:rFonts w:ascii="Calibri" w:hAnsi="Calibri" w:cs="Calibri"/>
          <w:i/>
          <w:iCs/>
          <w:noProof/>
        </w:rPr>
        <w:t>et al.</w:t>
      </w:r>
      <w:r w:rsidRPr="00654B60">
        <w:rPr>
          <w:rFonts w:ascii="Calibri" w:hAnsi="Calibri" w:cs="Calibri"/>
          <w:noProof/>
        </w:rPr>
        <w:t xml:space="preserve">, “Real-time neural style transfer for videos,”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7044–7052.</w:t>
      </w:r>
    </w:p>
    <w:p w14:paraId="39E250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[18]</w:t>
      </w:r>
      <w:r w:rsidRPr="00654B60">
        <w:rPr>
          <w:rFonts w:ascii="Calibri" w:hAnsi="Calibri" w:cs="Calibri"/>
          <w:noProof/>
        </w:rPr>
        <w:tab/>
        <w:t xml:space="preserve">D. Chen, J. Liao, L. Yuan, N. Yu, and G. Hua, “Coherent Online Video Style Transfer,”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1114–1123.</w:t>
      </w:r>
    </w:p>
    <w:p w14:paraId="3A3FEA9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[19]</w:t>
      </w:r>
      <w:r w:rsidRPr="00654B60">
        <w:rPr>
          <w:rFonts w:ascii="Calibri" w:hAnsi="Calibri" w:cs="Calibri"/>
          <w:noProof/>
        </w:rPr>
        <w:tab/>
        <w:t>T. R. Shaham, T. Dekel, and T. Michaeli, “SinGAN: Learning a Generative Model from a Single Natural Image,” May 2019.</w:t>
      </w:r>
    </w:p>
    <w:p w14:paraId="4117F98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[20]</w:t>
      </w:r>
      <w:r w:rsidRPr="00654B60">
        <w:rPr>
          <w:rFonts w:ascii="Calibri" w:hAnsi="Calibri" w:cs="Calibri"/>
          <w:noProof/>
        </w:rPr>
        <w:tab/>
        <w:t xml:space="preserve">X. Wei, S. Feng, J. Zhu, and H. Su, “Video-to-video translation with global temporal </w:t>
      </w:r>
      <w:r w:rsidRPr="00654B60">
        <w:rPr>
          <w:rFonts w:ascii="Calibri" w:hAnsi="Calibri" w:cs="Calibri"/>
          <w:noProof/>
        </w:rPr>
        <w:lastRenderedPageBreak/>
        <w:t xml:space="preserve">consistency,” </w:t>
      </w:r>
      <w:r w:rsidRPr="00654B60">
        <w:rPr>
          <w:rFonts w:ascii="Calibri" w:hAnsi="Calibri" w:cs="Calibri"/>
          <w:i/>
          <w:iCs/>
          <w:noProof/>
        </w:rPr>
        <w:t>MM 2018 - Proc. 2018 ACM Multimed. Conf.</w:t>
      </w:r>
      <w:r w:rsidRPr="00654B60">
        <w:rPr>
          <w:rFonts w:ascii="Calibri" w:hAnsi="Calibri" w:cs="Calibri"/>
          <w:noProof/>
        </w:rPr>
        <w:t>, pp. 18–25, 2018.</w:t>
      </w:r>
    </w:p>
    <w:p w14:paraId="4FCC72E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[21]</w:t>
      </w:r>
      <w:r w:rsidRPr="00654B60">
        <w:rPr>
          <w:rFonts w:ascii="Calibri" w:hAnsi="Calibri" w:cs="Calibri"/>
          <w:noProof/>
        </w:rPr>
        <w:tab/>
        <w:t xml:space="preserve">E. Ilg, N. Mayer, T. Saikia, M. Keuper, A. Dosovitskiy, and T. Brox, “FlowNet 2.0: Evolution of optical flow estimation with deep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1647–1655.</w:t>
      </w:r>
    </w:p>
    <w:p w14:paraId="715FFC7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[22]</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0A65ACE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[23]</w:t>
      </w:r>
      <w:r w:rsidRPr="00654B60">
        <w:rPr>
          <w:rFonts w:ascii="Calibri" w:hAnsi="Calibri" w:cs="Calibri"/>
          <w:noProof/>
        </w:rPr>
        <w:tab/>
        <w:t xml:space="preserve">A. Dosovitskiy </w:t>
      </w:r>
      <w:r w:rsidRPr="00654B60">
        <w:rPr>
          <w:rFonts w:ascii="Calibri" w:hAnsi="Calibri" w:cs="Calibri"/>
          <w:i/>
          <w:iCs/>
          <w:noProof/>
        </w:rPr>
        <w:t>et al.</w:t>
      </w:r>
      <w:r w:rsidRPr="00654B60">
        <w:rPr>
          <w:rFonts w:ascii="Calibri" w:hAnsi="Calibri" w:cs="Calibri"/>
          <w:noProof/>
        </w:rPr>
        <w:t xml:space="preserve">, “FlowNet: Learning optical flow with convolutional networks,” </w:t>
      </w:r>
      <w:r w:rsidRPr="00654B60">
        <w:rPr>
          <w:rFonts w:ascii="Calibri" w:hAnsi="Calibri" w:cs="Calibri"/>
          <w:i/>
          <w:iCs/>
          <w:noProof/>
        </w:rPr>
        <w:t>Proc. IEEE Int. Conf. Comput. Vis.</w:t>
      </w:r>
      <w:r w:rsidRPr="00654B60">
        <w:rPr>
          <w:rFonts w:ascii="Calibri" w:hAnsi="Calibri" w:cs="Calibri"/>
          <w:noProof/>
        </w:rPr>
        <w:t>, vol. 2015 Inter, pp. 2758–2766, 2015.</w:t>
      </w:r>
    </w:p>
    <w:p w14:paraId="79A64EE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[24]</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7C2E47A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[25]</w:t>
      </w:r>
      <w:r w:rsidRPr="00654B60">
        <w:rPr>
          <w:rFonts w:ascii="Calibri" w:hAnsi="Calibri" w:cs="Calibri"/>
          <w:noProof/>
        </w:rPr>
        <w:tab/>
        <w:t xml:space="preserve">D. J. Butler, J. Wulff, G. B. Stanley, and M. J. Black, “A naturalistic open source movie for optical flow evaluation,”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2012, vol. 7577 LNCS, no. PART 6, pp. 611–625.</w:t>
      </w:r>
    </w:p>
    <w:p w14:paraId="16802AE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[26]</w:t>
      </w:r>
      <w:r w:rsidRPr="00654B60">
        <w:rPr>
          <w:rFonts w:ascii="Calibri" w:hAnsi="Calibri" w:cs="Calibri"/>
          <w:noProof/>
        </w:rPr>
        <w:tab/>
        <w:t xml:space="preserve">J. P. Bennett, “Everybody Dance Now!,” </w:t>
      </w:r>
      <w:r w:rsidRPr="00654B60">
        <w:rPr>
          <w:rFonts w:ascii="Calibri" w:hAnsi="Calibri" w:cs="Calibri"/>
          <w:i/>
          <w:iCs/>
          <w:noProof/>
        </w:rPr>
        <w:t>J. Phys. Educ. Recreat. Danc.</w:t>
      </w:r>
      <w:r w:rsidRPr="00654B60">
        <w:rPr>
          <w:rFonts w:ascii="Calibri" w:hAnsi="Calibri" w:cs="Calibri"/>
          <w:noProof/>
        </w:rPr>
        <w:t>, vol. 77, no. 1, pp. 6–7, Jan. 2019.</w:t>
      </w:r>
    </w:p>
    <w:p w14:paraId="4DFA101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[27]</w:t>
      </w:r>
      <w:r w:rsidRPr="00654B60">
        <w:rPr>
          <w:rFonts w:ascii="Calibri" w:hAnsi="Calibri" w:cs="Calibri"/>
          <w:noProof/>
        </w:rPr>
        <w:tab/>
        <w:t xml:space="preserve">S. Webber, M. Harrop, J. Downs, T. Cox, N. Wouters, and A. Vande Moere, “Everybody Dance Now: Tensions between participation and performance in interactive public installations,” </w:t>
      </w:r>
      <w:r w:rsidRPr="00654B60">
        <w:rPr>
          <w:rFonts w:ascii="Calibri" w:hAnsi="Calibri" w:cs="Calibri"/>
          <w:i/>
          <w:iCs/>
          <w:noProof/>
        </w:rPr>
        <w:t>OzCHI 2015 Being Hum. - Conf. Proc.</w:t>
      </w:r>
      <w:r w:rsidRPr="00654B60">
        <w:rPr>
          <w:rFonts w:ascii="Calibri" w:hAnsi="Calibri" w:cs="Calibri"/>
          <w:noProof/>
        </w:rPr>
        <w:t>, pp. 284–288, 2015.</w:t>
      </w:r>
    </w:p>
    <w:p w14:paraId="0D493DF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[28]</w:t>
      </w:r>
      <w:r w:rsidRPr="00654B60">
        <w:rPr>
          <w:rFonts w:ascii="Calibri" w:hAnsi="Calibri" w:cs="Calibri"/>
          <w:noProof/>
        </w:rPr>
        <w:tab/>
        <w:t>A. Siarohin, S. Lathuilière, S. Tulyakov, E. Ricci, and N. Sebe, “Animating Arbitrary Objects via Deep Motion Transfer,” 2018.</w:t>
      </w:r>
    </w:p>
    <w:p w14:paraId="4DDA27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[29]</w:t>
      </w:r>
      <w:r w:rsidRPr="00654B60">
        <w:rPr>
          <w:rFonts w:ascii="Calibri" w:hAnsi="Calibri" w:cs="Calibri"/>
          <w:noProof/>
        </w:rPr>
        <w:tab/>
        <w:t>D. Bashkirova, B. Usman, and K. Saenko, “Unsupervised Video-to-Video Translation,” no. Nips, 2018.</w:t>
      </w:r>
    </w:p>
    <w:p w14:paraId="4533215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[30]</w:t>
      </w:r>
      <w:r w:rsidRPr="00654B60">
        <w:rPr>
          <w:rFonts w:ascii="Calibri" w:hAnsi="Calibri" w:cs="Calibri"/>
          <w:noProof/>
        </w:rPr>
        <w:tab/>
        <w:t xml:space="preserve">Y. Chen, Y. Pan, T. Yao, X. Tian, and T. Mei, “Mocycle-GAN: Unpaired video-to-video translation,” </w:t>
      </w:r>
      <w:r w:rsidRPr="00654B60">
        <w:rPr>
          <w:rFonts w:ascii="Calibri" w:hAnsi="Calibri" w:cs="Calibri"/>
          <w:i/>
          <w:iCs/>
          <w:noProof/>
        </w:rPr>
        <w:t>MM 2019 - Proc. 27th ACM Int. Conf. Multimed.</w:t>
      </w:r>
      <w:r w:rsidRPr="00654B60">
        <w:rPr>
          <w:rFonts w:ascii="Calibri" w:hAnsi="Calibri" w:cs="Calibri"/>
          <w:noProof/>
        </w:rPr>
        <w:t>, pp. 647–655, Aug. 2019.</w:t>
      </w:r>
    </w:p>
    <w:p w14:paraId="559258A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[31]</w:t>
      </w:r>
      <w:r w:rsidRPr="00654B60">
        <w:rPr>
          <w:rFonts w:ascii="Calibri" w:hAnsi="Calibri" w:cs="Calibri"/>
          <w:noProof/>
        </w:rPr>
        <w:tab/>
        <w:t xml:space="preserve">W. S. Lai, J. Bin Huang, O. Wang, E. Shechtman, E. Yumer, and M. H. Yang, “Learning blind video temporal consistency,”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11219 LNCS, pp. 179–195.</w:t>
      </w:r>
    </w:p>
    <w:p w14:paraId="6A60B16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[32]</w:t>
      </w:r>
      <w:r w:rsidRPr="00654B60">
        <w:rPr>
          <w:rFonts w:ascii="Calibri" w:hAnsi="Calibri" w:cs="Calibri"/>
          <w:noProof/>
        </w:rPr>
        <w:tab/>
        <w:t>“Edraw Max - Excellent Flowchart Software &amp; Diagramming Tool.” [Online]. Available: https://www.edrawsoft.com/edraw-max/. [Accessed: 02-Jun-2020].</w:t>
      </w:r>
    </w:p>
    <w:p w14:paraId="1A836E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[33]</w:t>
      </w:r>
      <w:r w:rsidRPr="00654B60">
        <w:rPr>
          <w:rFonts w:ascii="Calibri" w:hAnsi="Calibri" w:cs="Calibri"/>
          <w:noProof/>
        </w:rPr>
        <w:tab/>
        <w:t>“TensorFlow.” [Online]. Available: https://www.tensorflow.org/. [Accessed: 02-Jun-2020].</w:t>
      </w:r>
    </w:p>
    <w:p w14:paraId="3F32FE6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[34]</w:t>
      </w:r>
      <w:r w:rsidRPr="00654B60">
        <w:rPr>
          <w:rFonts w:ascii="Calibri" w:hAnsi="Calibri" w:cs="Calibri"/>
          <w:noProof/>
        </w:rPr>
        <w:tab/>
        <w:t>J. Hale, “Deep Learning Framework Power Scores,” 2018. .</w:t>
      </w:r>
    </w:p>
    <w:p w14:paraId="225701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[35]</w:t>
      </w:r>
      <w:r w:rsidRPr="00654B60">
        <w:rPr>
          <w:rFonts w:ascii="Calibri" w:hAnsi="Calibri" w:cs="Calibri"/>
          <w:noProof/>
        </w:rPr>
        <w:tab/>
        <w:t>“OpenCV.” [Online]. Available: https://opencv.org/. [Accessed: 02-Jun-2020].</w:t>
      </w:r>
    </w:p>
    <w:p w14:paraId="7ED3E41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[36]</w:t>
      </w:r>
      <w:r w:rsidRPr="00654B60">
        <w:rPr>
          <w:rFonts w:ascii="Calibri" w:hAnsi="Calibri" w:cs="Calibri"/>
          <w:noProof/>
        </w:rPr>
        <w:tab/>
        <w:t>“Design, visualize, and train deep learning networks - MATLAB.” [Online]. Available: https://www.mathworks.com/help/deeplearning/ref/deepnetworkdesigner-app.html. [Accessed: 05-Jun-2020].</w:t>
      </w:r>
    </w:p>
    <w:p w14:paraId="21E17B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[37]</w:t>
      </w:r>
      <w:r w:rsidRPr="00654B60">
        <w:rPr>
          <w:rFonts w:ascii="Calibri" w:hAnsi="Calibri" w:cs="Calibri"/>
          <w:noProof/>
        </w:rPr>
        <w:tab/>
        <w:t xml:space="preserve">M. Tan and Q. V. Le, “EfficientNet: Rethinking Model Scaling for Convolutional Neural Networks,” </w:t>
      </w:r>
      <w:r w:rsidRPr="00654B60">
        <w:rPr>
          <w:rFonts w:ascii="Calibri" w:hAnsi="Calibri" w:cs="Calibri"/>
          <w:i/>
          <w:iCs/>
          <w:noProof/>
        </w:rPr>
        <w:t>36th Int. Conf. Mach. Learn. ICML 2019</w:t>
      </w:r>
      <w:r w:rsidRPr="00654B60">
        <w:rPr>
          <w:rFonts w:ascii="Calibri" w:hAnsi="Calibri" w:cs="Calibri"/>
          <w:noProof/>
        </w:rPr>
        <w:t>, vol. 2019-June, pp. 10691–10700, May 2019.</w:t>
      </w:r>
    </w:p>
    <w:p w14:paraId="624BCC2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[38]</w:t>
      </w:r>
      <w:r w:rsidRPr="00654B60">
        <w:rPr>
          <w:rFonts w:ascii="Calibri" w:hAnsi="Calibri" w:cs="Calibri"/>
          <w:noProof/>
        </w:rPr>
        <w:tab/>
        <w:t xml:space="preserve">T.-W. Hui, X. Tang, and C. C. Loy, “A Lightweight Optical Flow CNN - Revisiting Data Fidelity and Regularization,” </w:t>
      </w:r>
      <w:r w:rsidRPr="00654B60">
        <w:rPr>
          <w:rFonts w:ascii="Calibri" w:hAnsi="Calibri" w:cs="Calibri"/>
          <w:i/>
          <w:iCs/>
          <w:noProof/>
        </w:rPr>
        <w:t>IEEE Trans. Pattern Anal. Mach. Intell.</w:t>
      </w:r>
      <w:r w:rsidRPr="00654B60">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118C4DC3" w:rsidR="00B82318" w:rsidRDefault="00F61D5B" w:rsidP="00F61D5B">
      <w:r>
        <w:t>Appendix</w:t>
      </w:r>
      <w:r w:rsidR="001B7DF8">
        <w:t xml:space="preserve"> A: GAN loss function proof</w:t>
      </w:r>
    </w:p>
    <w:p w14:paraId="7F44FC94" w14:textId="77777777" w:rsidR="00565747" w:rsidRDefault="00565747" w:rsidP="00F61D5B">
      <w:pPr>
        <w:sectPr w:rsidR="00565747">
          <w:pgSz w:w="12240" w:h="15840"/>
          <w:pgMar w:top="1440" w:right="1440" w:bottom="1440" w:left="1440" w:header="720" w:footer="720" w:gutter="0"/>
          <w:cols w:space="720"/>
          <w:docGrid w:linePitch="360"/>
        </w:sectPr>
      </w:pPr>
    </w:p>
    <w:p w14:paraId="4269F720" w14:textId="6C7DA353"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2159"/>
        <w:gridCol w:w="2161"/>
        <w:gridCol w:w="2160"/>
        <w:gridCol w:w="2160"/>
        <w:gridCol w:w="2161"/>
      </w:tblGrid>
      <w:tr w:rsidR="008C2CF9" w14:paraId="44D2BA0D" w14:textId="77777777" w:rsidTr="008C2CF9">
        <w:tc>
          <w:tcPr>
            <w:tcW w:w="2158" w:type="dxa"/>
          </w:tcPr>
          <w:p w14:paraId="230349B8" w14:textId="1FCEDA46" w:rsidR="00FE5808" w:rsidRDefault="00FE5808" w:rsidP="00F61D5B">
            <w:r>
              <w:t>5</w:t>
            </w:r>
            <w:r w:rsidR="00164C29" w:rsidRPr="00164C29">
              <w:rPr>
                <w:vertAlign w:val="superscript"/>
              </w:rPr>
              <w:t>th</w:t>
            </w:r>
            <w:r w:rsidR="00164C29">
              <w:t xml:space="preserve"> </w:t>
            </w:r>
            <w:r>
              <w:t>epoch</w:t>
            </w:r>
          </w:p>
        </w:tc>
        <w:tc>
          <w:tcPr>
            <w:tcW w:w="2158" w:type="dxa"/>
          </w:tcPr>
          <w:p w14:paraId="502FEBB0" w14:textId="2CCB89D2" w:rsidR="00FE5808" w:rsidRDefault="00FE5808" w:rsidP="00F61D5B">
            <w:r>
              <w:t>10</w:t>
            </w:r>
            <w:r w:rsidR="00164C29" w:rsidRPr="00FE5808">
              <w:rPr>
                <w:vertAlign w:val="superscript"/>
              </w:rPr>
              <w:t>th</w:t>
            </w:r>
            <w:r w:rsidR="00164C29">
              <w:t xml:space="preserve"> epoch</w:t>
            </w:r>
          </w:p>
        </w:tc>
        <w:tc>
          <w:tcPr>
            <w:tcW w:w="2159" w:type="dxa"/>
          </w:tcPr>
          <w:p w14:paraId="5971A297" w14:textId="6852A96B" w:rsidR="00FE5808" w:rsidRDefault="00FE5808" w:rsidP="00F61D5B">
            <w:r>
              <w:t>15</w:t>
            </w:r>
            <w:r w:rsidR="00164C29" w:rsidRPr="00FE5808">
              <w:rPr>
                <w:vertAlign w:val="superscript"/>
              </w:rPr>
              <w:t>th</w:t>
            </w:r>
            <w:r w:rsidR="00164C29">
              <w:t xml:space="preserve"> epoch</w:t>
            </w:r>
          </w:p>
        </w:tc>
        <w:tc>
          <w:tcPr>
            <w:tcW w:w="2158" w:type="dxa"/>
          </w:tcPr>
          <w:p w14:paraId="77776B05" w14:textId="602D997D" w:rsidR="00FE5808" w:rsidRDefault="00FE5808" w:rsidP="00F61D5B">
            <w:r>
              <w:t>20</w:t>
            </w:r>
            <w:r w:rsidR="00164C29" w:rsidRPr="00FE5808">
              <w:rPr>
                <w:vertAlign w:val="superscript"/>
              </w:rPr>
              <w:t>th</w:t>
            </w:r>
            <w:r w:rsidR="00164C29">
              <w:t xml:space="preserve"> epoch</w:t>
            </w:r>
          </w:p>
        </w:tc>
        <w:tc>
          <w:tcPr>
            <w:tcW w:w="2158" w:type="dxa"/>
          </w:tcPr>
          <w:p w14:paraId="2CFA886D" w14:textId="7BBA447D" w:rsidR="00FE5808" w:rsidRDefault="00FE5808" w:rsidP="00F61D5B">
            <w:r>
              <w:t>25</w:t>
            </w:r>
            <w:r w:rsidR="00164C29" w:rsidRPr="00FE5808">
              <w:rPr>
                <w:vertAlign w:val="superscript"/>
              </w:rPr>
              <w:t>th</w:t>
            </w:r>
            <w:r w:rsidR="00164C29">
              <w:t xml:space="preserve"> epoch</w:t>
            </w:r>
          </w:p>
        </w:tc>
        <w:tc>
          <w:tcPr>
            <w:tcW w:w="2159" w:type="dxa"/>
          </w:tcPr>
          <w:p w14:paraId="3B519BCC" w14:textId="1DA78FD7" w:rsidR="00FE5808" w:rsidRDefault="00FE5808" w:rsidP="00F61D5B">
            <w:r>
              <w:t>30</w:t>
            </w:r>
            <w:r w:rsidR="00164C29" w:rsidRPr="00FE5808">
              <w:rPr>
                <w:vertAlign w:val="superscript"/>
              </w:rPr>
              <w:t>th</w:t>
            </w:r>
            <w:r w:rsidR="00164C29">
              <w:t xml:space="preserve"> epoch</w:t>
            </w:r>
          </w:p>
        </w:tc>
      </w:tr>
      <w:tr w:rsidR="00FE5808" w14:paraId="1F05306C" w14:textId="77777777" w:rsidTr="008C2CF9">
        <w:tc>
          <w:tcPr>
            <w:tcW w:w="12950" w:type="dxa"/>
            <w:gridSpan w:val="6"/>
          </w:tcPr>
          <w:p w14:paraId="351C7019" w14:textId="225096C4" w:rsidR="00FE5808" w:rsidRDefault="00FE5808" w:rsidP="00F61D5B">
            <w:r>
              <w:rPr>
                <w:noProof/>
              </w:rPr>
              <w:drawing>
                <wp:anchor distT="0" distB="0" distL="114300" distR="114300" simplePos="0" relativeHeight="251824128" behindDoc="0" locked="0" layoutInCell="1" allowOverlap="1" wp14:anchorId="4741BC63" wp14:editId="1ECBAF1C">
                  <wp:simplePos x="0" y="0"/>
                  <wp:positionH relativeFrom="column">
                    <wp:posOffset>1621790</wp:posOffset>
                  </wp:positionH>
                  <wp:positionV relativeFrom="paragraph">
                    <wp:posOffset>-1676400</wp:posOffset>
                  </wp:positionV>
                  <wp:extent cx="4839335" cy="8200390"/>
                  <wp:effectExtent l="0" t="4127"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4839335" cy="8200390"/>
                          </a:xfrm>
                          <a:prstGeom prst="rect">
                            <a:avLst/>
                          </a:prstGeom>
                          <a:noFill/>
                          <a:ln>
                            <a:noFill/>
                          </a:ln>
                        </pic:spPr>
                      </pic:pic>
                    </a:graphicData>
                  </a:graphic>
                  <wp14:sizeRelV relativeFrom="margin">
                    <wp14:pctHeight>0</wp14:pctHeight>
                  </wp14:sizeRelV>
                </wp:anchor>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763A4E67" w14:textId="149AADFC" w:rsidR="001B7DF8" w:rsidRDefault="00F61D5B" w:rsidP="00F61D5B">
      <w:r>
        <w:lastRenderedPageBreak/>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9F2F2" w14:textId="77777777" w:rsidR="001447AE" w:rsidRDefault="001447AE" w:rsidP="006C5C4D">
      <w:pPr>
        <w:spacing w:after="0" w:line="240" w:lineRule="auto"/>
      </w:pPr>
      <w:r>
        <w:separator/>
      </w:r>
    </w:p>
  </w:endnote>
  <w:endnote w:type="continuationSeparator" w:id="0">
    <w:p w14:paraId="69AE2561" w14:textId="77777777" w:rsidR="001447AE" w:rsidRDefault="001447A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451DAA" w:rsidRDefault="00451D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451DAA" w:rsidRDefault="00451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5C6E5B" w14:textId="77777777" w:rsidR="001447AE" w:rsidRDefault="001447AE" w:rsidP="006C5C4D">
      <w:pPr>
        <w:spacing w:after="0" w:line="240" w:lineRule="auto"/>
      </w:pPr>
      <w:r>
        <w:separator/>
      </w:r>
    </w:p>
  </w:footnote>
  <w:footnote w:type="continuationSeparator" w:id="0">
    <w:p w14:paraId="61F0D667" w14:textId="77777777" w:rsidR="001447AE" w:rsidRDefault="001447AE" w:rsidP="006C5C4D">
      <w:pPr>
        <w:spacing w:after="0" w:line="240" w:lineRule="auto"/>
      </w:pPr>
      <w:r>
        <w:continuationSeparator/>
      </w:r>
    </w:p>
  </w:footnote>
  <w:footnote w:id="1">
    <w:p w14:paraId="477C4AEB" w14:textId="38FA7075" w:rsidR="00451DAA" w:rsidRDefault="00451DA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451DAA" w:rsidRPr="0087636F" w:rsidRDefault="00451DA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51DAA" w:rsidRDefault="00451DA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451DAA" w:rsidRDefault="00451DA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451DAA" w:rsidRDefault="00451DA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451DAA" w:rsidRDefault="00451DA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451DAA" w:rsidRDefault="00451DA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4FAPgFX/g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7AE"/>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951"/>
    <w:rsid w:val="00453D22"/>
    <w:rsid w:val="00454886"/>
    <w:rsid w:val="004562E6"/>
    <w:rsid w:val="004570FB"/>
    <w:rsid w:val="00465806"/>
    <w:rsid w:val="00466202"/>
    <w:rsid w:val="004667A6"/>
    <w:rsid w:val="00470024"/>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678"/>
    <w:rsid w:val="00B90128"/>
    <w:rsid w:val="00B90A8D"/>
    <w:rsid w:val="00B90F15"/>
    <w:rsid w:val="00B911B5"/>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1EAA"/>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4236</TotalTime>
  <Pages>72</Pages>
  <Words>43059</Words>
  <Characters>245442</Characters>
  <Application>Microsoft Office Word</Application>
  <DocSecurity>0</DocSecurity>
  <Lines>2045</Lines>
  <Paragraphs>575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446</cp:revision>
  <cp:lastPrinted>2020-08-29T09:53:00Z</cp:lastPrinted>
  <dcterms:created xsi:type="dcterms:W3CDTF">2020-09-15T13:42:00Z</dcterms:created>
  <dcterms:modified xsi:type="dcterms:W3CDTF">2020-09-20T11:53:00Z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